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bidi w:val="1"/>
        <w:spacing w:before="0" w:after="200"/>
        <w:contextualSpacing/>
        <w:jc w:val="center"/>
        <w:rPr>
          <w:rFonts w:ascii="DejaVu Sans" w:hAnsi="DejaVu Sans" w:cs="DejaVu Sans"/>
          <w:b/>
          <w:b/>
          <w:bCs/>
          <w:sz w:val="32"/>
          <w:sz w:val="32"/>
          <w:szCs w:val="32"/>
          <w:rtl w:val="true"/>
          <w:lang w:bidi="ar-TN"/>
        </w:rPr>
      </w:pPr>
      <w:bookmarkStart w:id="0" w:name="__DdeLink__573_1204399706"/>
      <w:r>
        <w:rPr>
          <w:rFonts w:ascii="DejaVu Sans" w:hAnsi="DejaVu Sans" w:cs="DejaVu Sans"/>
          <w:b/>
          <w:b/>
          <w:bCs/>
          <w:sz w:val="32"/>
          <w:sz w:val="32"/>
          <w:szCs w:val="32"/>
          <w:rtl w:val="true"/>
          <w:lang w:bidi="ar-TN"/>
        </w:rPr>
        <w:t>الن</w:t>
      </w:r>
      <w:r>
        <w:rPr>
          <w:rFonts w:ascii="DejaVu Sans" w:hAnsi="DejaVu Sans" w:cs="DejaVu Sans"/>
          <w:b/>
          <w:b/>
          <w:bCs/>
          <w:sz w:val="32"/>
          <w:sz w:val="32"/>
          <w:szCs w:val="32"/>
          <w:rtl w:val="true"/>
          <w:lang w:bidi="ar-TN"/>
        </w:rPr>
        <w:t>ّ</w:t>
      </w:r>
      <w:bookmarkEnd w:id="0"/>
      <w:r>
        <w:rPr>
          <w:rFonts w:ascii="DejaVu Sans" w:hAnsi="DejaVu Sans" w:cs="DejaVu Sans"/>
          <w:b/>
          <w:b/>
          <w:bCs/>
          <w:sz w:val="32"/>
          <w:sz w:val="32"/>
          <w:szCs w:val="32"/>
          <w:rtl w:val="true"/>
          <w:lang w:bidi="ar-TN"/>
        </w:rPr>
        <w:t>خلة في الشّعر العربيّ</w:t>
      </w:r>
    </w:p>
    <w:p>
      <w:pPr>
        <w:pStyle w:val="Normal"/>
        <w:bidi w:val="1"/>
        <w:spacing w:before="0" w:after="200"/>
        <w:contextualSpacing/>
        <w:jc w:val="center"/>
        <w:rPr>
          <w:rFonts w:cs="DejaVu Sans" w:ascii="DejaVu Sans" w:hAnsi="DejaVu Sans"/>
          <w:sz w:val="32"/>
          <w:szCs w:val="32"/>
          <w:rtl w:val="true"/>
        </w:rPr>
      </w:pPr>
      <w:r>
        <w:rPr>
          <w:rFonts w:cs="DejaVu Sans" w:ascii="DejaVu Sans" w:hAnsi="DejaVu Sans"/>
          <w:sz w:val="32"/>
          <w:szCs w:val="32"/>
          <w:rtl w:val="true"/>
        </w:rPr>
      </w:r>
    </w:p>
    <w:p>
      <w:pPr>
        <w:pStyle w:val="Normal"/>
        <w:bidi w:val="1"/>
        <w:spacing w:before="0" w:after="200"/>
        <w:contextualSpacing/>
        <w:jc w:val="right"/>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ورد في لسان العرب نخَلَ الشَّيءَ ينخلُهُ نَخْلاً أي صفّاهُ واختارهُ وفي الحديث</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لا يقبل الله من الدّعاء إلاّ الناخلة أي المنخولة الخالصة</w:t>
      </w:r>
      <w:r>
        <w:rPr>
          <w:rFonts w:cs="DejaVu Sans" w:ascii="DejaVu Sans" w:hAnsi="DejaVu Sans"/>
          <w:sz w:val="32"/>
          <w:szCs w:val="32"/>
          <w:rtl w:val="true"/>
          <w:lang w:bidi="ar-TN"/>
        </w:rPr>
        <w:t>(</w:t>
      </w:r>
      <w:r>
        <w:rPr>
          <w:rFonts w:cs="DejaVu Sans" w:ascii="DejaVu Sans" w:hAnsi="DejaVu Sans"/>
          <w:sz w:val="32"/>
          <w:szCs w:val="32"/>
          <w:lang w:bidi="ar-TN"/>
        </w:rPr>
        <w:t>1</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والنخلة شجرة التمر لعلّها سمّيت كذلك لكونها ذات ثمار مصطفاة في بيئتها الصّحراوية بالإضافة إلى فوائدها الجمّة التي لا تحصَى ولا تُعدُّ سواء في الغذاء أو في السّكن أو في الحاجات الأخرى</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وقد جاء ذكر النّخل في القرآن الكريم عديد المرّات في صيغ مختلفة</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ففي سورة الرحمان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فيهما فاكهةٌ ونخلٌ ورمّان</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الآية </w:t>
      </w:r>
      <w:r>
        <w:rPr>
          <w:rFonts w:cs="DejaVu Sans" w:ascii="DejaVu Sans" w:hAnsi="DejaVu Sans"/>
          <w:sz w:val="32"/>
          <w:szCs w:val="32"/>
          <w:lang w:bidi="ar-TN"/>
        </w:rPr>
        <w:t>68</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وفي سورة يس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وجعلنا فيها جنات من نخيلٍ وأعنابٍ وفجّرنا فيها من العُيون</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الآية </w:t>
      </w:r>
      <w:r>
        <w:rPr>
          <w:rFonts w:cs="DejaVu Sans" w:ascii="DejaVu Sans" w:hAnsi="DejaVu Sans"/>
          <w:sz w:val="32"/>
          <w:szCs w:val="32"/>
          <w:lang w:bidi="ar-TN"/>
        </w:rPr>
        <w:t>34</w:t>
      </w:r>
      <w:r>
        <w:rPr>
          <w:rFonts w:ascii="DejaVu Sans" w:hAnsi="DejaVu Sans" w:cs="DejaVu Sans"/>
          <w:sz w:val="32"/>
          <w:sz w:val="32"/>
          <w:szCs w:val="32"/>
          <w:rtl w:val="true"/>
          <w:lang w:bidi="ar-TN"/>
        </w:rPr>
        <w:t xml:space="preserve">، أمّا النّخلة فإنّها لم تذكر إلاّ مرتين وذلك في سُورة مريم عند الآية </w:t>
      </w:r>
      <w:r>
        <w:rPr>
          <w:rFonts w:cs="DejaVu Sans" w:ascii="DejaVu Sans" w:hAnsi="DejaVu Sans"/>
          <w:sz w:val="32"/>
          <w:szCs w:val="32"/>
          <w:lang w:bidi="ar-TN"/>
        </w:rPr>
        <w:t>23</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فآجَاءَهَا المخاضُ إلى جذعِ النّخلة</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وعند الآية </w:t>
      </w:r>
      <w:r>
        <w:rPr>
          <w:rFonts w:cs="DejaVu Sans" w:ascii="DejaVu Sans" w:hAnsi="DejaVu Sans"/>
          <w:sz w:val="32"/>
          <w:szCs w:val="32"/>
          <w:lang w:bidi="ar-TN"/>
        </w:rPr>
        <w:t>25</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وهُزّي إليكِ بجذعِ النّخلةِ تسَّاقطُ عليكِ رُطَبًا جنِيًّا</w:t>
      </w:r>
      <w:r>
        <w:rPr>
          <w:rFonts w:cs="DejaVu Sans" w:ascii="DejaVu Sans" w:hAnsi="DejaVu Sans"/>
          <w:sz w:val="32"/>
          <w:szCs w:val="32"/>
          <w:rtl w:val="true"/>
          <w:lang w:bidi="ar-TN"/>
        </w:rPr>
        <w:t>](</w:t>
      </w:r>
      <w:r>
        <w:rPr>
          <w:rFonts w:cs="DejaVu Sans" w:ascii="DejaVu Sans" w:hAnsi="DejaVu Sans"/>
          <w:sz w:val="32"/>
          <w:szCs w:val="32"/>
          <w:lang w:bidi="ar-TN"/>
        </w:rPr>
        <w:t>2</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وقد اشتملت اللغة العربية على معجم متنوّع الكلمات بالنسبة إلى النخلة فإذا كانت النخلةُ صغيرةً فهي الفسيلةُ والوديّة وإذا كانت قصيرةً تنالها اليد فهي القاعدُ فإذا صار لها جذعٌ فهي جبّارةٌ فإذا ارتفعت عن ذلك فهي الرَّقْلةُ والصّيْدَانَةُ فإذا زادت فهي بَاسقَةٌ فإذا تناهتْ في الطُّولِ فهي سَحُوقٌ وإذَا كانت النّخلةُ على الماءِ فهيَ كَارِعَةٌ فإذا كانت تحملُ سنةٌ وسنة لا تحمل فهي سنْهَاءُ فإذا كان بُسرُها ينتثر وهو أخضر فهي خضِيرةٌ</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فإذا دقَّتْ من أسفلها وانجردت فهي صُنبُورٌ، فإذا مالت وجُعلَ تحتَهَا دُكّانٌ تعتمدُ عليه فهي رُجَبِيَّةٌ، فإذا كانت مُنفردةٌ عن أخواتِهَا فهيَ عوَانةٌ</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أما الأفعال التي تنسب إلى النخلة فهي عديدة منها أنّ النّخلةَ في بادئ أمرهَا أطلعَتْ ثمّ أبْلحتْ ثمّ أبْسَرتْ ثمّ أزْهَتْ ثمّ أمْعَتْ ثمّ أرْطَبتْ أتمَرتْ</w:t>
      </w:r>
      <w:r>
        <w:rPr>
          <w:rFonts w:cs="DejaVu Sans" w:ascii="DejaVu Sans" w:hAnsi="DejaVu Sans"/>
          <w:sz w:val="32"/>
          <w:szCs w:val="32"/>
          <w:rtl w:val="true"/>
          <w:lang w:bidi="ar-TN"/>
        </w:rPr>
        <w:t>(</w:t>
      </w:r>
      <w:r>
        <w:rPr>
          <w:rFonts w:cs="DejaVu Sans" w:ascii="DejaVu Sans" w:hAnsi="DejaVu Sans"/>
          <w:sz w:val="32"/>
          <w:szCs w:val="32"/>
          <w:lang w:bidi="ar-TN"/>
        </w:rPr>
        <w:t>3</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والتّمرُ عندَ أهل الجَرِيدِ في تونس عشرات الأنواع من حيث الشّكل واللّون والمذاق ووقت جنيه ويزعمون أنّ أسماء التّمر على عدد حروف الهجاء وأكثر من ذلك</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 xml:space="preserve">إنّ النّخلةَ رفيقة العربيّ في حلّه وترحالهِ منها يأكلُ </w:t>
      </w:r>
      <w:r>
        <w:rPr>
          <w:rFonts w:ascii="DejaVu Sans" w:hAnsi="DejaVu Sans" w:cs="DejaVu Sans"/>
          <w:sz w:val="32"/>
          <w:sz w:val="32"/>
          <w:szCs w:val="32"/>
          <w:shd w:fill="FFFF00" w:val="clear"/>
          <w:rtl w:val="true"/>
          <w:lang w:bidi="ar-TN"/>
        </w:rPr>
        <w:t>وبظلّها يلوذ</w:t>
      </w:r>
      <w:r>
        <w:rPr>
          <w:rFonts w:ascii="DejaVu Sans" w:hAnsi="DejaVu Sans" w:cs="DejaVu Sans"/>
          <w:sz w:val="32"/>
          <w:sz w:val="32"/>
          <w:szCs w:val="32"/>
          <w:rtl w:val="true"/>
          <w:lang w:bidi="ar-TN"/>
        </w:rPr>
        <w:t xml:space="preserve"> وبسَعَفِهَا يبني بيته ويُوقد ناره وله منها منافع أخرى في شؤونه اليوميّة وكلّما وُجدت النّخلة اِنبثقت من حولها الحياة في الصّحراء القاحلة وقد حملت عديد الأمكنة في الجزيرة العربيّة اسم النّخلة أو النّخيل كقول بعض الشّعراء في المفضليّات</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تَؤُمُّ بها الحُدَاةُ ميَاهَ نخْلٍ</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وفيهَا عن أبانين آزْوِرارُ</w:t>
      </w:r>
      <w:r>
        <w:rPr>
          <w:rFonts w:cs="DejaVu Sans" w:ascii="DejaVu Sans" w:hAnsi="DejaVu Sans"/>
          <w:sz w:val="32"/>
          <w:szCs w:val="32"/>
          <w:rtl w:val="true"/>
          <w:lang w:bidi="ar-TN"/>
        </w:rPr>
        <w:t>(</w:t>
      </w:r>
      <w:r>
        <w:rPr>
          <w:rFonts w:cs="DejaVu Sans" w:ascii="DejaVu Sans" w:hAnsi="DejaVu Sans"/>
          <w:sz w:val="32"/>
          <w:szCs w:val="32"/>
          <w:lang w:bidi="ar-TN"/>
        </w:rPr>
        <w:t>4</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ومثل قول الآخر أيضا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أربَابُ نخلةَ والقُرَيْظِ وَسَاهِمِ</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إنّي كذلك آلفٌ مألوفُ</w:t>
      </w:r>
      <w:r>
        <w:rPr>
          <w:rFonts w:cs="DejaVu Sans" w:ascii="DejaVu Sans" w:hAnsi="DejaVu Sans"/>
          <w:sz w:val="32"/>
          <w:szCs w:val="32"/>
          <w:rtl w:val="true"/>
          <w:lang w:bidi="ar-TN"/>
        </w:rPr>
        <w:t>(</w:t>
      </w:r>
      <w:r>
        <w:rPr>
          <w:rFonts w:cs="DejaVu Sans" w:ascii="DejaVu Sans" w:hAnsi="DejaVu Sans"/>
          <w:sz w:val="32"/>
          <w:szCs w:val="32"/>
          <w:lang w:bidi="ar-TN"/>
        </w:rPr>
        <w:t>5</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وكقول المتنبي</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ما مُقامي بأرض نخلةَ إلاّ</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كمُقام المسيح بين اليهود</w:t>
      </w:r>
      <w:r>
        <w:rPr>
          <w:rFonts w:cs="DejaVu Sans" w:ascii="DejaVu Sans" w:hAnsi="DejaVu Sans"/>
          <w:sz w:val="32"/>
          <w:szCs w:val="32"/>
          <w:rtl w:val="true"/>
          <w:lang w:bidi="ar-TN"/>
        </w:rPr>
        <w:t>(</w:t>
      </w:r>
      <w:r>
        <w:rPr>
          <w:rFonts w:cs="DejaVu Sans" w:ascii="DejaVu Sans" w:hAnsi="DejaVu Sans"/>
          <w:sz w:val="32"/>
          <w:szCs w:val="32"/>
          <w:lang w:bidi="ar-TN"/>
        </w:rPr>
        <w:t>6</w:t>
      </w:r>
      <w:r>
        <w:rPr>
          <w:rFonts w:cs="DejaVu Sans" w:ascii="DejaVu Sans" w:hAnsi="DejaVu Sans"/>
          <w:sz w:val="32"/>
          <w:szCs w:val="32"/>
          <w:rtl w:val="true"/>
          <w:lang w:bidi="ar-TN"/>
        </w:rPr>
        <w:t xml:space="preserve">)  </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وأرض نخلة في هذا السّياق هي قريةٌ عند بعلبك لبني كلب</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ومن أشهر المواضيع التي تُعرف بالنّخل موع حلوان وهي مدينة كانت مشهورة قديمًا بالعراق وقد قال كثيرٌ من الشّعراء في نخلتيها عديد القصائد حتّى روي أنّ المهديَّ قد هَمَّ بقطعهما لكنَّ المنصور نهاهُ عن عزمه قائلا له أنْ لا فائدة له في قطعهما ولا ضرر في بقائهما أيضًا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الشّاعر مُطيع بن إيّاس مرَّ بالنّخلتين فقال فيهما قصيدة من أحدَ عشر بيتا مطلعها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أسْعِدَانِي يا نخلتيْ حُلوان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وآبكيا لي من ريب هذا الزّمان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واَعلمَا أنّ ريبه لم يزل</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يُفرّق بين الآلاف والجيران</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والشّاعر يذكر في هذه القصيدة حبّه لاِبنه أحدِ كبار القوم في بلاد العجم ويحنّ فيها إلى عهده الجميل معها ثمّ يشكو حظه من الفراق قائلا في آخرها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وبرغمي أن أصبحت لا تراها</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العين منّي وأصبحت لا تراني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إن تكن ودّعت فقد تركت بي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لهبا في الضّمير ليس بوان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كحريق الضّرام في قصب الغاب</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رمته ريحان مختلفان</w:t>
      </w:r>
      <w:r>
        <w:rPr>
          <w:rFonts w:cs="DejaVu Sans" w:ascii="DejaVu Sans" w:hAnsi="DejaVu Sans"/>
          <w:sz w:val="32"/>
          <w:szCs w:val="32"/>
          <w:rtl w:val="true"/>
          <w:lang w:bidi="ar-TN"/>
        </w:rPr>
        <w:t>(</w:t>
      </w:r>
      <w:r>
        <w:rPr>
          <w:rFonts w:cs="DejaVu Sans" w:ascii="DejaVu Sans" w:hAnsi="DejaVu Sans"/>
          <w:sz w:val="32"/>
          <w:szCs w:val="32"/>
          <w:lang w:bidi="ar-TN"/>
        </w:rPr>
        <w:t>7</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إنّ نخلتيْ حُلوان ترمزان إلى الألفة والوصال بين الأحبّة في كثير من الأشعار القديمة لأنّهما كانتا قريبتين من بعضهما فإذا نظر المرء إليهما وهو على سفره أثارتا فيه الشّجون وجميل الذكريات ويُروى أنّ الأمير عبد الرحمان الدّاخل عندما فرّ إلى الأندلس واستقرّ بها رأى نخلةً في ساحة قصره فقال</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تبدّت لنا وسط الرّصافة نخلة</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تناءت بأرض الغرب عن بلد النخل</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نشأتِ بأرض أنت فيها غريبة</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فمثلك في الإقصاء والمنتأى مثلي</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وقريبٌ من هذا الشّعور بالاِغتراب عن المكان الأصلي وكذلك الأنسُ في نفس الوقت بالنّخلة عند مرآها قولُ الشّاعر محمد المرزوقي قصيدته التي جعلها تحت عنوان</w:t>
      </w:r>
      <w:r>
        <w:rPr>
          <w:rFonts w:cs="DejaVu Sans" w:ascii="DejaVu Sans" w:hAnsi="DejaVu Sans"/>
          <w:sz w:val="32"/>
          <w:szCs w:val="32"/>
          <w:rtl w:val="true"/>
          <w:lang w:bidi="ar-TN"/>
        </w:rPr>
        <w:t>: (</w:t>
      </w:r>
      <w:r>
        <w:rPr>
          <w:rFonts w:ascii="DejaVu Sans" w:hAnsi="DejaVu Sans" w:cs="DejaVu Sans"/>
          <w:sz w:val="32"/>
          <w:sz w:val="32"/>
          <w:szCs w:val="32"/>
          <w:rtl w:val="true"/>
          <w:lang w:bidi="ar-TN"/>
        </w:rPr>
        <w:t>إلى النّخلة الغريبة</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والتي مهّد لها بقوله</w:t>
      </w:r>
      <w:r>
        <w:rPr>
          <w:rFonts w:cs="DejaVu Sans" w:ascii="DejaVu Sans" w:hAnsi="DejaVu Sans"/>
          <w:sz w:val="32"/>
          <w:szCs w:val="32"/>
          <w:rtl w:val="true"/>
          <w:lang w:bidi="ar-TN"/>
        </w:rPr>
        <w:t>: "</w:t>
      </w:r>
      <w:r>
        <w:rPr>
          <w:rFonts w:ascii="DejaVu Sans" w:hAnsi="DejaVu Sans" w:cs="DejaVu Sans"/>
          <w:sz w:val="32"/>
          <w:sz w:val="32"/>
          <w:szCs w:val="32"/>
          <w:rtl w:val="true"/>
          <w:lang w:bidi="ar-TN"/>
        </w:rPr>
        <w:t xml:space="preserve">دعاني بعض تلاميذي لقضاء عطلة الرّبيع المدرسية سنة </w:t>
      </w:r>
      <w:r>
        <w:rPr>
          <w:rFonts w:cs="DejaVu Sans" w:ascii="DejaVu Sans" w:hAnsi="DejaVu Sans"/>
          <w:sz w:val="32"/>
          <w:szCs w:val="32"/>
          <w:lang w:bidi="ar-TN"/>
        </w:rPr>
        <w:t>1945</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بضيعة لهمم قرب ماطر بالشّمال التونسي وكانت تحت نافذتي نخلةٌ ذكّرتني بموطن الصّبا واحاتِ النّخيل بالجنوب التّونسي</w:t>
      </w:r>
      <w:r>
        <w:rPr>
          <w:rFonts w:cs="DejaVu Sans" w:ascii="DejaVu Sans" w:hAnsi="DejaVu Sans"/>
          <w:sz w:val="32"/>
          <w:szCs w:val="32"/>
          <w:rtl w:val="true"/>
          <w:lang w:bidi="ar-TN"/>
        </w:rPr>
        <w:t>(</w:t>
      </w:r>
      <w:r>
        <w:rPr>
          <w:rFonts w:cs="DejaVu Sans" w:ascii="DejaVu Sans" w:hAnsi="DejaVu Sans"/>
          <w:sz w:val="32"/>
          <w:szCs w:val="32"/>
          <w:lang w:bidi="ar-TN"/>
        </w:rPr>
        <w:t>8</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يستهلّ محمد المرزوقي قصيدته قائلا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وجودك في هذا المكان عجيبُ</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فكيف هنا مكْثٌ إليك يطيبُ</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أيا  نخلةً باتت على رغم أنفهَا</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يُصارعها الإعصار وهي كثيبُ</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وتعبثُ بالأغصانِ منها عواصفُ</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الشّمال وأوكارُ النّخيل جنوبُ</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 xml:space="preserve">فلا تحزني إنّ الحياة تنقّــلٌ </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وصبرًا، كلانا في الحياة غريبُ</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فالشّاعر محمد المرزوقي رأى في النخلة شبيهًا له في الغربة فعمد إلى بثّها حزنه كي يطيب بها نفسًا ويشدّ بها أزرًا إذا يقول عند آخر القصيدة</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أناجيك من بيتي هنا كلّ ليلةٍ</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فأذكر فيك موطني فأطيب</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وأنسى بك الآلام يا أنسَ غربتي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وخطبُ فؤاد صارعته خطوبُ</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hanging="0"/>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وضمن السياق نفسه تقريبا أنشأ الشاعر أحمد اللغماني قصيدته التي بعنوان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النخلتان</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سنة </w:t>
      </w:r>
      <w:r>
        <w:rPr>
          <w:rFonts w:cs="DejaVu Sans" w:ascii="DejaVu Sans" w:hAnsi="DejaVu Sans"/>
          <w:sz w:val="32"/>
          <w:szCs w:val="32"/>
          <w:lang w:bidi="ar-TN"/>
        </w:rPr>
        <w:t>1953</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وقدّم لها هو أيضا كما يلي</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w:t>
      </w:r>
      <w:r>
        <w:rPr>
          <w:rFonts w:ascii="DejaVu Sans" w:hAnsi="DejaVu Sans" w:cs="DejaVu Sans"/>
          <w:sz w:val="32"/>
          <w:sz w:val="32"/>
          <w:szCs w:val="32"/>
          <w:rtl w:val="true"/>
          <w:lang w:bidi="ar-TN"/>
        </w:rPr>
        <w:t>نخلتان غريبتان في الطّريق الواصلة بين قرنبالية وبني خلاد رأيتهما ترتعشان في يوم شتاء وإعصار</w:t>
      </w:r>
      <w:r>
        <w:rPr>
          <w:rFonts w:cs="DejaVu Sans" w:ascii="DejaVu Sans" w:hAnsi="DejaVu Sans"/>
          <w:sz w:val="32"/>
          <w:szCs w:val="32"/>
          <w:rtl w:val="true"/>
          <w:lang w:bidi="ar-TN"/>
        </w:rPr>
        <w:t>)(</w:t>
      </w:r>
      <w:r>
        <w:rPr>
          <w:rFonts w:cs="DejaVu Sans" w:ascii="DejaVu Sans" w:hAnsi="DejaVu Sans"/>
          <w:sz w:val="32"/>
          <w:szCs w:val="32"/>
          <w:lang w:bidi="ar-TN"/>
        </w:rPr>
        <w:t>9</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ومثلما اِستلهم مُطيع النّخلة بن إيّاس وعبد الرّحمان الدّاخل ومحمد المرزوقي الحنين والغربة من النّخلة فإنّ فإنّ أحمد اللغماني يفتتح قصيدته بنفس المعاني تقريبا فهو يقول في أوّل قصيدة</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جذعان قاما ههنا في مسربي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قذفتهما الواحات مغتربان </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جذعان بل روحان من بلدي هنا</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في هذه الأصقاع معتنقان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روحان في هذا العراء تغرّبا</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وبهذه الأهوال يشتجران</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غير أنّ الشّاعر أحمد اللّغماني جعل من هذه المناسبة عودةً إلى مرابع طفولته وصباه ممّا أضفى على القصيدة لونًا آخر لم نعهده عند ذكر النخلة في ما سبق فهو القائل</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ألقاهما عند الضّحى فأخالُني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في واحة الزّارات اِبنَ ثمانِ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 xml:space="preserve">ألهو مع الأتراب تحت بواسقٍ </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مدّت إلى كبد السّماء بعنانِ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والجدول المنسابُ يهزج تحتها</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مترنّحا كترنّح النّشوان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نتسلّق النخل المنيعَ تسابقًا</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ونعيث في عرجونه المزدانِ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 xml:space="preserve">ونظلّ بالبلح المجمّع نرتمي </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حربٌ نؤجّجها بلا أضغانِ</w:t>
      </w:r>
      <w:r>
        <w:rPr>
          <w:rFonts w:cs="DejaVu Sans" w:ascii="DejaVu Sans" w:hAnsi="DejaVu Sans"/>
          <w:sz w:val="32"/>
          <w:szCs w:val="32"/>
          <w:rtl w:val="true"/>
          <w:lang w:bidi="ar-TN"/>
        </w:rPr>
        <w:t xml:space="preserve">! </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ففي القصيدة عواطف البهجة والمرح رغم بدايتها المتجهّمة كما نلاحظ أنّ التغنّي بالنّخلة والواحة والطفولة والأهل واضح لدى أحمد اللغماني في هذه القصيدة وما الجذعان اللذان اِعترضاه في طريقه إلاّ مناسبة للحديث في غرض الحنين إلى الصّبا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 xml:space="preserve">ظلت النخلة على مدى العصور والأمصار ملهمة الشّعراء عند تذكارهم للماضي الزّاهر الذي عاشوه في غابر أيّامهم وحتّى الشاعر مصطفى خريّف عند معارضته لقصيد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يا ليل الصّبُّ</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وجدَ في النخلة أحسن داعية لتجديد عهده مع أعذب الأوقات</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العهد هلُمَّ نجــــــــــــدّدهُ فالدّهرُ قد انبسطت يدهُ</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وتغرّد فوق النّخل يمـــــامُ يشجيك تغــــــــــــرّده</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والبلبلُ هزَّ الغصن وغنّـ</w:t>
      </w:r>
      <w:r>
        <w:rPr>
          <w:rFonts w:cs="DejaVu Sans" w:ascii="DejaVu Sans" w:hAnsi="DejaVu Sans"/>
          <w:sz w:val="32"/>
          <w:szCs w:val="32"/>
          <w:rtl w:val="true"/>
          <w:lang w:bidi="ar-TN"/>
        </w:rPr>
        <w:tab/>
      </w:r>
      <w:r>
        <w:rPr>
          <w:rFonts w:ascii="DejaVu Sans" w:hAnsi="DejaVu Sans" w:cs="DejaVu Sans"/>
          <w:sz w:val="32"/>
          <w:sz w:val="32"/>
          <w:szCs w:val="32"/>
          <w:rtl w:val="true"/>
          <w:lang w:bidi="ar-TN"/>
        </w:rPr>
        <w:t>ـــــى لحن الحبِّ يــــردّده</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 xml:space="preserve">يتلو تسبيح صبابتــــــه </w:t>
      </w:r>
      <w:r>
        <w:rPr>
          <w:rFonts w:cs="DejaVu Sans" w:ascii="DejaVu Sans" w:hAnsi="DejaVu Sans"/>
          <w:sz w:val="32"/>
          <w:szCs w:val="32"/>
          <w:rtl w:val="true"/>
          <w:lang w:bidi="ar-TN"/>
        </w:rPr>
        <w:tab/>
      </w:r>
      <w:r>
        <w:rPr>
          <w:rFonts w:ascii="DejaVu Sans" w:hAnsi="DejaVu Sans" w:cs="DejaVu Sans"/>
          <w:sz w:val="32"/>
          <w:sz w:val="32"/>
          <w:szCs w:val="32"/>
          <w:rtl w:val="true"/>
          <w:lang w:bidi="ar-TN"/>
        </w:rPr>
        <w:t>فيــــــــرتّله ويجــــــــوّده</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والغاب تبسّم عن زهـر</w:t>
      </w:r>
      <w:r>
        <w:rPr>
          <w:rFonts w:cs="DejaVu Sans" w:ascii="DejaVu Sans" w:hAnsi="DejaVu Sans"/>
          <w:sz w:val="32"/>
          <w:szCs w:val="32"/>
          <w:rtl w:val="true"/>
          <w:lang w:bidi="ar-TN"/>
        </w:rPr>
        <w:tab/>
      </w:r>
      <w:r>
        <w:rPr>
          <w:rFonts w:ascii="DejaVu Sans" w:hAnsi="DejaVu Sans" w:cs="DejaVu Sans"/>
          <w:sz w:val="32"/>
          <w:sz w:val="32"/>
          <w:szCs w:val="32"/>
          <w:rtl w:val="true"/>
          <w:lang w:bidi="ar-TN"/>
        </w:rPr>
        <w:t>شتّى الألــــوان تنضّـــــده</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فالواحة تبدو لدى مصطفى خريف سنفونية من تناسق الألحان ولوحة من تآلف الألوان سرعان ما يركّز بعدئذ على آلاء النّخلة الكثيرة قائلا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طمحت للنّجم بواسقُها</w:t>
      </w:r>
      <w:r>
        <w:rPr>
          <w:rFonts w:cs="DejaVu Sans" w:ascii="DejaVu Sans" w:hAnsi="DejaVu Sans"/>
          <w:sz w:val="32"/>
          <w:szCs w:val="32"/>
          <w:rtl w:val="true"/>
          <w:lang w:bidi="ar-TN"/>
        </w:rPr>
        <w:tab/>
      </w:r>
      <w:r>
        <w:rPr>
          <w:rFonts w:ascii="DejaVu Sans" w:hAnsi="DejaVu Sans" w:cs="DejaVu Sans"/>
          <w:sz w:val="32"/>
          <w:sz w:val="32"/>
          <w:szCs w:val="32"/>
          <w:rtl w:val="true"/>
          <w:lang w:bidi="ar-TN"/>
        </w:rPr>
        <w:t>فهواها النّجم وفرقــدهُ</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منحاها الرّفعة فارتفعت تعنُو للّه وتعبــــــــدهُ</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فحباها الله محاســــــنَه ومكارمَه جلّت يـــدهُ</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تتأوّد كالنشّوان فيفـــــ</w:t>
      </w:r>
      <w:r>
        <w:rPr>
          <w:rFonts w:cs="DejaVu Sans" w:ascii="DejaVu Sans" w:hAnsi="DejaVu Sans"/>
          <w:sz w:val="32"/>
          <w:szCs w:val="32"/>
          <w:rtl w:val="true"/>
          <w:lang w:bidi="ar-TN"/>
        </w:rPr>
        <w:tab/>
      </w:r>
      <w:r>
        <w:rPr>
          <w:rFonts w:ascii="DejaVu Sans" w:hAnsi="DejaVu Sans" w:cs="DejaVu Sans"/>
          <w:sz w:val="32"/>
          <w:sz w:val="32"/>
          <w:szCs w:val="32"/>
          <w:rtl w:val="true"/>
          <w:lang w:bidi="ar-TN"/>
        </w:rPr>
        <w:t>ـضح غصن البان تأوّده</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وتحلّى الجيد بطلع أبيــضَ مثل العقد تَقلّــــده</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وتَدُرّ بثدي مثل العاج رحيقًا عذبًا مــــــــوردُه</w:t>
      </w:r>
      <w:r>
        <w:rPr>
          <w:rFonts w:cs="DejaVu Sans" w:ascii="DejaVu Sans" w:hAnsi="DejaVu Sans"/>
          <w:sz w:val="32"/>
          <w:szCs w:val="32"/>
          <w:rtl w:val="true"/>
          <w:lang w:bidi="ar-TN"/>
        </w:rPr>
        <w:t>(</w:t>
      </w:r>
      <w:r>
        <w:rPr>
          <w:rFonts w:cs="DejaVu Sans" w:ascii="DejaVu Sans" w:hAnsi="DejaVu Sans"/>
          <w:sz w:val="32"/>
          <w:szCs w:val="32"/>
          <w:lang w:bidi="ar-TN"/>
        </w:rPr>
        <w:t>10</w:t>
      </w:r>
      <w:r>
        <w:rPr>
          <w:rFonts w:cs="DejaVu Sans" w:ascii="DejaVu Sans" w:hAnsi="DejaVu Sans"/>
          <w:sz w:val="32"/>
          <w:szCs w:val="32"/>
          <w:rtl w:val="true"/>
          <w:lang w:bidi="ar-TN"/>
        </w:rPr>
        <w:t xml:space="preserve">) </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قد وقف مصطفى خريّف عند أهمّ خصائص النخلة سواء من ناحية المنظر أو من ناحية المأكل والمشرب أو من ناحية الجمال والزّينة والرّمز حيث تجاوز الوصف إلى الدّلالة والمحدود إلى المطلق وهو تناولٌ شعريٌّ نادرٌ في تاريخ الشعر العربي الذي رغم أنّ النخلة تعتبر من أهمّ علامات بيئته إلاّ أنّها غير كثيرة التواتر فيه فإلى أيّ حدّ يمكن بحثُ غياب هذه الظاهرة</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إذا نحن عدنا إلى معلّقة اِمرئ القيس باِعتبارها أهمّ ما اِصطفاه العصر الجاهليّ في الشّعر، فإنّنا سنجد أنّه يذكر النخلة في سياق الغزل قائلا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وفرع يزين المَتن أسود فاحم</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أثيث كقِنْو النّخلة المُتعثكل</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فشبّه اِمرؤ القيس غزارة شعر حبيبته بعرجون النّخلة في تدلّيه وتناظره وتناسقه</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وثمّة في الأصمعيات بيتٌ آخر في غرض الوصف عند تشبيه الإبل بالنّخل عند قول الإيّادي</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وإذا أعرضتْ تقول قصورٌ</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من سماهيج فوقها آطام</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وإذا فجئتها بطـــن غيبٍ</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قلتَ نخلٌ قد حان منها صِرام</w:t>
      </w:r>
      <w:r>
        <w:rPr>
          <w:rFonts w:cs="DejaVu Sans" w:ascii="DejaVu Sans" w:hAnsi="DejaVu Sans"/>
          <w:sz w:val="32"/>
          <w:szCs w:val="32"/>
          <w:rtl w:val="true"/>
          <w:lang w:bidi="ar-TN"/>
        </w:rPr>
        <w:t>(</w:t>
      </w:r>
      <w:r>
        <w:rPr>
          <w:rFonts w:cs="DejaVu Sans" w:ascii="DejaVu Sans" w:hAnsi="DejaVu Sans"/>
          <w:sz w:val="32"/>
          <w:szCs w:val="32"/>
          <w:lang w:bidi="ar-TN"/>
        </w:rPr>
        <w:t>11</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أمّا البيت الوارد في شواهد لسان العرب فإنّ كلمة النّخل تعني في سياقه نوعًا من الحُليّ لدى المرأة كانت تتزيّن به لعلّه يشبه في شكله النّخلة</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رأيتُ بها قضيبًا فوق دِعْصِ</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عليه النّخل أينع والكروم</w:t>
      </w:r>
      <w:r>
        <w:rPr>
          <w:rFonts w:cs="DejaVu Sans" w:ascii="DejaVu Sans" w:hAnsi="DejaVu Sans"/>
          <w:sz w:val="32"/>
          <w:szCs w:val="32"/>
          <w:rtl w:val="true"/>
          <w:lang w:bidi="ar-TN"/>
        </w:rPr>
        <w:t>(</w:t>
      </w:r>
      <w:r>
        <w:rPr>
          <w:rFonts w:cs="DejaVu Sans" w:ascii="DejaVu Sans" w:hAnsi="DejaVu Sans"/>
          <w:sz w:val="32"/>
          <w:szCs w:val="32"/>
          <w:lang w:bidi="ar-TN"/>
        </w:rPr>
        <w:t>12</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 xml:space="preserve">لكنّنا إذا تصفّحنا دواوين الشّعر العربي الحديث بما فيه من خروج عن النّسق العروضي القديم وبما فيه من أغراض ومعانٍ جديدة، لاحظنا أنّ الشّعراء العرب المعاصرين كثيرا ما يذكرون النّخلة في قصائدهم فالشاعر بدر شاكر السّيّاب يجعل من النخيل اِستهلالاً لقصيدته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أنشوة المطر</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قائلا عند مطلعها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عيناكِ غابتَا نخيلٍ ساعة السحرْ</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أو شرفتان راح ينأى عنهما القمرْ</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عيناكِ حين تبسمان تورق الكرومْ</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وترقصَ الأضواء كالأقمار في نَهَِر</w:t>
      </w:r>
      <w:r>
        <w:rPr>
          <w:rFonts w:cs="DejaVu Sans" w:ascii="DejaVu Sans" w:hAnsi="DejaVu Sans"/>
          <w:sz w:val="32"/>
          <w:szCs w:val="32"/>
          <w:rtl w:val="true"/>
          <w:lang w:bidi="ar-TN"/>
        </w:rPr>
        <w:t>(</w:t>
      </w:r>
      <w:r>
        <w:rPr>
          <w:rFonts w:cs="DejaVu Sans" w:ascii="DejaVu Sans" w:hAnsi="DejaVu Sans"/>
          <w:sz w:val="32"/>
          <w:szCs w:val="32"/>
          <w:lang w:bidi="ar-TN"/>
        </w:rPr>
        <w:t>13</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فالنّخيل في هذا المقطع كالمنظر العام الذي تتحرّك فيه العناصر الأخرى فكأنّه إذن يمثل المشهد الأوّل حيث منه تنطلق بقيّة الحركات في القصيدة</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 xml:space="preserve">والشّاعر الميداني بن صالح في قصيدة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في رحاب المتولّي</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قد سلك من خلال تغنّيه بالنّخلة مسلكًا جديدًا بالنسبة إلى مسار شعره عامّة الذي دأب فيه على الواقعيّة وبالنسبة كذلك إلى تناولات الشّعراء للنّخلة حيث أنّه جعل قصيده المطوّل في منحى هو إلى التأمّل أقرب وإلى التصوّف أميَل وهو من الرّمز ينبثق ومن التراث ينهل مثل قوله</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هذه النّخلة لي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سجّادة الوجدِ</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لمعراجي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وكم كان تأجّل</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فهي لي أجنحة</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ما حملتها أبدًا</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يومًا نسور</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هذه النّخلة لي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سلّم نورْ</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لفضاءات التجلّي</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ولأعراس الحضورْ</w:t>
      </w:r>
      <w:r>
        <w:rPr>
          <w:rFonts w:cs="DejaVu Sans" w:ascii="DejaVu Sans" w:hAnsi="DejaVu Sans"/>
          <w:sz w:val="32"/>
          <w:szCs w:val="32"/>
          <w:rtl w:val="true"/>
          <w:lang w:bidi="ar-TN"/>
        </w:rPr>
        <w:t>(</w:t>
      </w:r>
      <w:r>
        <w:rPr>
          <w:rFonts w:cs="DejaVu Sans" w:ascii="DejaVu Sans" w:hAnsi="DejaVu Sans"/>
          <w:sz w:val="32"/>
          <w:szCs w:val="32"/>
          <w:lang w:bidi="ar-TN"/>
        </w:rPr>
        <w:t>14</w:t>
      </w:r>
      <w:r>
        <w:rPr>
          <w:rFonts w:cs="DejaVu Sans" w:ascii="DejaVu Sans" w:hAnsi="DejaVu Sans"/>
          <w:sz w:val="32"/>
          <w:szCs w:val="32"/>
          <w:rtl w:val="true"/>
          <w:lang w:bidi="ar-TN"/>
        </w:rPr>
        <w:t xml:space="preserve">) </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فقصيدة الميداني بن صالح اِحتفال بالنّخلة في أبعادها الرّوحية بما تضمّنه من تأمّلات اِستلهمها الشّاعر من رموزها الضّاربة في التاريخ الإنساني ولا عجب في ذلك فالميداني بن صالح هو كذلك مثل الشعراء السابقين الذين كان موطنهم وميدان طفولتهم واحات النّخيل والذين وظّفوا ذكرياتهم فيها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 xml:space="preserve">إنّ النّخيل يصبح لدى بعض النّصوص الشّعرية الحديثة الأخرى رمزًا لمعاني التأصّل والثبات والصّمود ورمزًا للتشبّث بالقيم الوطنيّة في الفترات الصّعبة كما يتجلّى ذلك في قصيد الشاعر محفوظ الجراحي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لأنّ الذي سوف يأتي أتى</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قديمًا اِنتحلنَا صفة النّخيل</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وقلنا لعصافير المدائن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تعالي</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تعالي استظلّي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ثمّ هيّأنا المساء للرّحيل</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وهيّأنا النّساء شجرا يقتفي أحلامنا</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وقلنا</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سلامًا على الذّاهبين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قديمًا تنبّأنا أنّ الليل أشرعةً</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مواقيت تختزل الفرح المسجّى</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ما بين ترياق الرّغبة والموت</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بأعتاب الياسمين</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لتحيا البلاد</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بكل المعاني</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وكلّ الأغاني</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والعـــلم المفـــــدّى</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هتفنا</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هتفنا باسم البلاد،، وقلنا نموت</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ليحيا النّخيلز</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وتنعتق زيتونةً في المزاد</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ascii="DejaVu Sans" w:hAnsi="DejaVu Sans" w:cs="DejaVu Sans"/>
          <w:sz w:val="32"/>
          <w:sz w:val="32"/>
          <w:szCs w:val="32"/>
          <w:rtl w:val="true"/>
          <w:lang w:bidi="ar-TN"/>
        </w:rPr>
      </w:pPr>
      <w:r>
        <w:rPr>
          <w:rFonts w:cs="DejaVu Sans" w:ascii="DejaVu Sans" w:hAnsi="DejaVu Sans"/>
          <w:sz w:val="32"/>
          <w:szCs w:val="32"/>
          <w:rtl w:val="true"/>
          <w:lang w:bidi="ar-TN"/>
        </w:rPr>
        <w:t>...</w:t>
      </w:r>
      <w:r>
        <w:rPr>
          <w:rFonts w:ascii="DejaVu Sans" w:hAnsi="DejaVu Sans" w:cs="DejaVu Sans"/>
          <w:sz w:val="32"/>
          <w:sz w:val="32"/>
          <w:szCs w:val="32"/>
          <w:rtl w:val="true"/>
          <w:lang w:bidi="ar-TN"/>
        </w:rPr>
        <w:t>قديما تعتّق العشب في رؤانا</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اتّحدنا</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بلون السّماء</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وأعلنّا للبحر بيان النّخيل</w:t>
      </w:r>
      <w:r>
        <w:rPr>
          <w:rFonts w:cs="DejaVu Sans" w:ascii="DejaVu Sans" w:hAnsi="DejaVu Sans"/>
          <w:sz w:val="32"/>
          <w:szCs w:val="32"/>
          <w:rtl w:val="true"/>
          <w:lang w:bidi="ar-TN"/>
        </w:rPr>
        <w:t>(</w:t>
      </w:r>
      <w:r>
        <w:rPr>
          <w:rFonts w:cs="DejaVu Sans" w:ascii="DejaVu Sans" w:hAnsi="DejaVu Sans"/>
          <w:sz w:val="32"/>
          <w:szCs w:val="32"/>
          <w:lang w:bidi="ar-TN"/>
        </w:rPr>
        <w:t>15</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هكذا يعبّر محفوظ الجراحي على صفات النّخيل وهي التي لا تُحصى ولا تعدّ وهي في هذا السّياق تتراوح بين الصّمود والصّبر وبين الأمل والفرح</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غير أنّ للنّخلة حضورًا أوضح في الأدب الشّعبي هذا الأدب الذي ما تزال الجامعات في أغلب البلاد العربيّة لا توليه العناية اللاّزمة من الجمع والتّدوين والدّراسة وهو أدبٌ ثريٌّ وزاخرٌ بالمعاني والأبعاد لا نراها إلاّ سندًا للأدب العربيّ الفصيح</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 xml:space="preserve">وفي مجال النّخلة فإنّ هذا الأدب الشعبيّ في تونس تضمّن تشبيه حاجبيْ المرأة إذا ما اِقترنا بكونهما مثل النّخلة وكثيرًا ما تُوصف المرأة عند اِعتدال قوامها ورشاقة قدّها بالنّخلة وتمثّل أغنية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يا زين الصّحراء</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التي تتغنّى الفنّانة الراحلة صليحة بالبادية وبالجمال الأصيل أكثر الأغاني التونسية تداولاً وتعبيرًا عن الوجدان العارم نحو رمز النّخلة في المِخيال الشعبي ومثلما كتب محمد المرزوقي في قصيدة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إلى نخلة غريبة</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فإنّه هو الذي كتب نصّ هذه الأغنية التي ترسم النخلة والمرأة كأبهى ما يكون</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 xml:space="preserve">ليس الشّعر وحده هو الذي اِعتنى بذكر النّخلة بل الرّواية هي أيضا سجّلت للنّخلة صفاتها الفاتنة فهذا الأديب البشير خريّف يتحدّث عنها في روايته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الدقلة في عراجينها</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قائلا</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النّخلة، هذه الشّجرة المباركة التي لا تُشبه أيّة شجرة أخرى، وكم لها من شبهٍ بالإنسان، لا فرع لها ولا غ صن، تنطلقُ من الأرض مستقيمةً جبّارةً فتنفتح في السّماء والنّور ويتفرّع جريدها من القلب منقوشًا متناظرًا أخضر باسقًا في دائرة كأنّه نوّارة خضراء، يلينُ سعفُهُ ويرقُّ حتى ليكاد أن يكون في نعومة الريشة، ويشتدّ عند اقترابه من الثمرة ويتصلّب حتّى يصير شوكًا أسود الذّبابة، مسدِّدًا، يحمي الرُّطبَ من الأيدي، دمها رحيقٌ عذبٌ، وقلبها لذيذٌ شهيٌّ، تزهو وتحلم، تسقي وتُسكر، تلد وتجنُّ، وتطلب الحبّ في الرّبيع</w:t>
      </w:r>
      <w:r>
        <w:rPr>
          <w:rFonts w:cs="DejaVu Sans" w:ascii="DejaVu Sans" w:hAnsi="DejaVu Sans"/>
          <w:sz w:val="32"/>
          <w:szCs w:val="32"/>
          <w:rtl w:val="true"/>
          <w:lang w:bidi="ar-TN"/>
        </w:rPr>
        <w:t>(</w:t>
      </w:r>
      <w:r>
        <w:rPr>
          <w:rFonts w:cs="DejaVu Sans" w:ascii="DejaVu Sans" w:hAnsi="DejaVu Sans"/>
          <w:sz w:val="32"/>
          <w:szCs w:val="32"/>
          <w:lang w:bidi="ar-TN"/>
        </w:rPr>
        <w:t>16</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ind w:left="0" w:right="0" w:firstLine="567"/>
        <w:contextualSpacing/>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تلك هي النخلة أصل الحياة في الصّحراء ومُلهمة الشعراء والأدباء عبر العصور</w:t>
      </w:r>
      <w:r>
        <w:rPr>
          <w:rFonts w:cs="DejaVu Sans" w:ascii="DejaVu Sans" w:hAnsi="DejaVu Sans"/>
          <w:sz w:val="32"/>
          <w:szCs w:val="32"/>
          <w:rtl w:val="true"/>
          <w:lang w:bidi="ar-TN"/>
        </w:rPr>
        <w:t>(</w:t>
      </w:r>
      <w:r>
        <w:rPr>
          <w:rFonts w:cs="DejaVu Sans" w:ascii="DejaVu Sans" w:hAnsi="DejaVu Sans"/>
          <w:sz w:val="32"/>
          <w:szCs w:val="32"/>
          <w:lang w:bidi="ar-TN"/>
        </w:rPr>
        <w:t>17</w:t>
      </w:r>
      <w:r>
        <w:rPr>
          <w:rFonts w:cs="DejaVu Sans" w:ascii="DejaVu Sans" w:hAnsi="DejaVu Sans"/>
          <w:sz w:val="32"/>
          <w:szCs w:val="32"/>
          <w:rtl w:val="true"/>
          <w:lang w:bidi="ar-TN"/>
        </w:rPr>
        <w:t>).</w:t>
      </w:r>
    </w:p>
    <w:p>
      <w:pPr>
        <w:pStyle w:val="Normal"/>
        <w:bidi w:val="1"/>
        <w:spacing w:before="0" w:after="200"/>
        <w:ind w:left="0" w:right="0" w:firstLine="567"/>
        <w:contextualSpacing/>
        <w:jc w:val="both"/>
        <w:rPr>
          <w:rtl w:val="true"/>
        </w:rPr>
      </w:pPr>
      <w:r>
        <w:rPr>
          <w:rtl w:val="true"/>
        </w:rPr>
      </w:r>
    </w:p>
    <w:p>
      <w:pPr>
        <w:pStyle w:val="Normal"/>
        <w:bidi w:val="1"/>
        <w:spacing w:before="0" w:after="200"/>
        <w:contextualSpacing/>
        <w:jc w:val="both"/>
        <w:rPr>
          <w:rFonts w:ascii="DejaVu Sans" w:hAnsi="DejaVu Sans" w:cs="DejaVu Sans"/>
          <w:sz w:val="32"/>
          <w:sz w:val="32"/>
          <w:szCs w:val="32"/>
          <w:rtl w:val="true"/>
          <w:lang w:bidi="ar-TN"/>
        </w:rPr>
      </w:pPr>
      <w:r>
        <w:rPr>
          <w:rFonts w:ascii="DejaVu Sans" w:hAnsi="DejaVu Sans" w:cs="DejaVu Sans"/>
          <w:sz w:val="32"/>
          <w:sz w:val="32"/>
          <w:szCs w:val="32"/>
          <w:rtl w:val="true"/>
          <w:lang w:bidi="ar-TN"/>
        </w:rPr>
        <w:t>ـــــــــــــــــــــــــــــــــــــــــــــــــ</w:t>
      </w:r>
    </w:p>
    <w:p>
      <w:pPr>
        <w:pStyle w:val="Normal"/>
        <w:bidi w:val="1"/>
        <w:spacing w:before="0" w:after="200"/>
        <w:contextualSpacing/>
        <w:jc w:val="both"/>
        <w:rPr>
          <w:rFonts w:cs="DejaVu Sans" w:ascii="DejaVu Sans" w:hAnsi="DejaVu Sans"/>
          <w:sz w:val="32"/>
          <w:szCs w:val="32"/>
          <w:rtl w:val="true"/>
          <w:lang w:bidi="ar-TN"/>
        </w:rPr>
      </w:pPr>
      <w:r>
        <w:rPr>
          <w:rFonts w:ascii="DejaVu Sans" w:hAnsi="DejaVu Sans" w:cs="DejaVu Sans"/>
          <w:b/>
          <w:b/>
          <w:bCs/>
          <w:sz w:val="32"/>
          <w:sz w:val="32"/>
          <w:szCs w:val="32"/>
          <w:u w:val="single"/>
          <w:rtl w:val="true"/>
          <w:lang w:bidi="ar-TN"/>
        </w:rPr>
        <w:t>الهوامش</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لسان العرب لابن منظور – دار لسان العرب – بيروت ج</w:t>
      </w:r>
      <w:r>
        <w:rPr>
          <w:rFonts w:cs="DejaVu Sans" w:ascii="DejaVu Sans" w:hAnsi="DejaVu Sans"/>
          <w:sz w:val="32"/>
          <w:szCs w:val="32"/>
          <w:lang w:bidi="ar-TN"/>
        </w:rPr>
        <w:t>3</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ص</w:t>
      </w:r>
      <w:r>
        <w:rPr>
          <w:rFonts w:cs="DejaVu Sans" w:ascii="DejaVu Sans" w:hAnsi="DejaVu Sans"/>
          <w:sz w:val="32"/>
          <w:szCs w:val="32"/>
          <w:lang w:bidi="ar-TN"/>
        </w:rPr>
        <w:t>605</w:t>
      </w:r>
      <w:r>
        <w:rPr>
          <w:rFonts w:cs="DejaVu Sans" w:ascii="DejaVu Sans" w:hAnsi="DejaVu Sans"/>
          <w:sz w:val="32"/>
          <w:szCs w:val="32"/>
          <w:rtl w:val="true"/>
          <w:lang w:bidi="ar-TN"/>
        </w:rPr>
        <w:t xml:space="preserve"> </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المعجم المفهرس لألفاظ القرآن الكريم – محمد فؤاد عبد الباقي – دار إحياء التراث العربي بيروت – لبنان، الجزء الثالث، ص</w:t>
      </w:r>
      <w:r>
        <w:rPr>
          <w:rFonts w:cs="DejaVu Sans" w:ascii="DejaVu Sans" w:hAnsi="DejaVu Sans"/>
          <w:sz w:val="32"/>
          <w:szCs w:val="32"/>
          <w:lang w:bidi="ar-TN"/>
        </w:rPr>
        <w:t>604</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فقه اللغة لأبي منصور الثعالبي – دار مكتبة الحياة ص</w:t>
      </w:r>
      <w:r>
        <w:rPr>
          <w:rFonts w:cs="DejaVu Sans" w:ascii="DejaVu Sans" w:hAnsi="DejaVu Sans"/>
          <w:sz w:val="32"/>
          <w:szCs w:val="32"/>
          <w:lang w:bidi="ar-TN"/>
        </w:rPr>
        <w:t>196</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المفضليات</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تحقيق أحمد محمد شاكر وعبد السلام محمد هارون – دار المعارف بمصر، </w:t>
      </w:r>
      <w:r>
        <w:rPr>
          <w:rFonts w:cs="DejaVu Sans" w:ascii="DejaVu Sans" w:hAnsi="DejaVu Sans"/>
          <w:sz w:val="32"/>
          <w:szCs w:val="32"/>
          <w:lang w:bidi="ar-TN"/>
        </w:rPr>
        <w:t>1976</w:t>
      </w:r>
      <w:r>
        <w:rPr>
          <w:rFonts w:ascii="DejaVu Sans" w:hAnsi="DejaVu Sans" w:cs="DejaVu Sans"/>
          <w:sz w:val="32"/>
          <w:sz w:val="32"/>
          <w:szCs w:val="32"/>
          <w:rtl w:val="true"/>
          <w:lang w:bidi="ar-TN"/>
        </w:rPr>
        <w:t>، ص</w:t>
      </w:r>
      <w:r>
        <w:rPr>
          <w:rFonts w:cs="DejaVu Sans" w:ascii="DejaVu Sans" w:hAnsi="DejaVu Sans"/>
          <w:sz w:val="32"/>
          <w:szCs w:val="32"/>
          <w:lang w:bidi="ar-TN"/>
        </w:rPr>
        <w:t>338</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نفس المصدر، ص</w:t>
      </w:r>
      <w:r>
        <w:rPr>
          <w:rFonts w:cs="DejaVu Sans" w:ascii="DejaVu Sans" w:hAnsi="DejaVu Sans"/>
          <w:sz w:val="32"/>
          <w:szCs w:val="32"/>
          <w:lang w:bidi="ar-TN"/>
        </w:rPr>
        <w:t>374</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شرح ديوان المتنبي للشيخ ناصيف اليازجي، دار القلم، بيروت</w:t>
      </w:r>
      <w:r>
        <w:rPr>
          <w:rFonts w:cs="DejaVu Sans" w:ascii="DejaVu Sans" w:hAnsi="DejaVu Sans"/>
          <w:sz w:val="32"/>
          <w:szCs w:val="32"/>
          <w:rtl w:val="true"/>
          <w:lang w:bidi="ar-TN"/>
        </w:rPr>
        <w:t>-</w:t>
      </w:r>
      <w:r>
        <w:rPr>
          <w:rFonts w:ascii="DejaVu Sans" w:hAnsi="DejaVu Sans" w:cs="DejaVu Sans"/>
          <w:sz w:val="32"/>
          <w:sz w:val="32"/>
          <w:szCs w:val="32"/>
          <w:rtl w:val="true"/>
          <w:lang w:bidi="ar-TN"/>
        </w:rPr>
        <w:t>لبنان، ص</w:t>
      </w:r>
      <w:r>
        <w:rPr>
          <w:rFonts w:cs="DejaVu Sans" w:ascii="DejaVu Sans" w:hAnsi="DejaVu Sans"/>
          <w:sz w:val="32"/>
          <w:szCs w:val="32"/>
          <w:lang w:bidi="ar-TN"/>
        </w:rPr>
        <w:t>16</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قصص العرب، دار الجيل، بيروت</w:t>
      </w:r>
      <w:r>
        <w:rPr>
          <w:rFonts w:cs="DejaVu Sans" w:ascii="DejaVu Sans" w:hAnsi="DejaVu Sans"/>
          <w:sz w:val="32"/>
          <w:szCs w:val="32"/>
          <w:rtl w:val="true"/>
          <w:lang w:bidi="ar-TN"/>
        </w:rPr>
        <w:t>-</w:t>
      </w:r>
      <w:r>
        <w:rPr>
          <w:rFonts w:ascii="DejaVu Sans" w:hAnsi="DejaVu Sans" w:cs="DejaVu Sans"/>
          <w:sz w:val="32"/>
          <w:sz w:val="32"/>
          <w:szCs w:val="32"/>
          <w:rtl w:val="true"/>
          <w:lang w:bidi="ar-TN"/>
        </w:rPr>
        <w:t xml:space="preserve">لبنان، </w:t>
      </w:r>
      <w:r>
        <w:rPr>
          <w:rFonts w:cs="DejaVu Sans" w:ascii="DejaVu Sans" w:hAnsi="DejaVu Sans"/>
          <w:sz w:val="32"/>
          <w:szCs w:val="32"/>
          <w:lang w:bidi="ar-TN"/>
        </w:rPr>
        <w:t>1988</w:t>
      </w:r>
      <w:r>
        <w:rPr>
          <w:rFonts w:ascii="DejaVu Sans" w:hAnsi="DejaVu Sans" w:cs="DejaVu Sans"/>
          <w:sz w:val="32"/>
          <w:sz w:val="32"/>
          <w:szCs w:val="32"/>
          <w:rtl w:val="true"/>
          <w:lang w:bidi="ar-TN"/>
        </w:rPr>
        <w:t>، ص</w:t>
      </w:r>
      <w:r>
        <w:rPr>
          <w:rFonts w:cs="DejaVu Sans" w:ascii="DejaVu Sans" w:hAnsi="DejaVu Sans"/>
          <w:sz w:val="32"/>
          <w:szCs w:val="32"/>
          <w:lang w:bidi="ar-TN"/>
        </w:rPr>
        <w:t>224</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بقايا شباب، محمد المرزوقي، الدار التونسية للنشر –تونس</w:t>
      </w:r>
      <w:r>
        <w:rPr>
          <w:rFonts w:cs="DejaVu Sans" w:ascii="DejaVu Sans" w:hAnsi="DejaVu Sans"/>
          <w:sz w:val="32"/>
          <w:szCs w:val="32"/>
          <w:lang w:bidi="ar-TN"/>
        </w:rPr>
        <w:t>1966</w:t>
      </w:r>
      <w:r>
        <w:rPr>
          <w:rFonts w:ascii="DejaVu Sans" w:hAnsi="DejaVu Sans" w:cs="DejaVu Sans"/>
          <w:sz w:val="32"/>
          <w:sz w:val="32"/>
          <w:szCs w:val="32"/>
          <w:rtl w:val="true"/>
          <w:lang w:bidi="ar-TN"/>
        </w:rPr>
        <w:t>، ص</w:t>
      </w:r>
      <w:r>
        <w:rPr>
          <w:rFonts w:cs="DejaVu Sans" w:ascii="DejaVu Sans" w:hAnsi="DejaVu Sans"/>
          <w:sz w:val="32"/>
          <w:szCs w:val="32"/>
          <w:lang w:bidi="ar-TN"/>
        </w:rPr>
        <w:t>147</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قلب على شفة، أحمد اللغماني، الدار التونسية للنشر، تونس، ص</w:t>
      </w:r>
      <w:r>
        <w:rPr>
          <w:rFonts w:cs="DejaVu Sans" w:ascii="DejaVu Sans" w:hAnsi="DejaVu Sans"/>
          <w:sz w:val="32"/>
          <w:szCs w:val="32"/>
          <w:lang w:bidi="ar-TN"/>
        </w:rPr>
        <w:t>86</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يا ليل الصبُّ ومعارضاتها، الدار العربية للكتاب</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 xml:space="preserve">الأصمعيات، تحقيق أحمد محمد شاكر وعبد السلام هارون هارونْ، دار المعارف بمصر، </w:t>
      </w:r>
      <w:r>
        <w:rPr>
          <w:rFonts w:cs="DejaVu Sans" w:ascii="DejaVu Sans" w:hAnsi="DejaVu Sans"/>
          <w:sz w:val="32"/>
          <w:szCs w:val="32"/>
          <w:lang w:bidi="ar-TN"/>
        </w:rPr>
        <w:t>1976</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ص</w:t>
      </w:r>
      <w:r>
        <w:rPr>
          <w:rFonts w:cs="DejaVu Sans" w:ascii="DejaVu Sans" w:hAnsi="DejaVu Sans"/>
          <w:sz w:val="32"/>
          <w:szCs w:val="32"/>
          <w:lang w:bidi="ar-TN"/>
        </w:rPr>
        <w:t>188</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بدر شاكر السياب، الديوان، دار العودة، بيروت</w:t>
      </w:r>
      <w:r>
        <w:rPr>
          <w:rFonts w:cs="DejaVu Sans" w:ascii="DejaVu Sans" w:hAnsi="DejaVu Sans"/>
          <w:sz w:val="32"/>
          <w:szCs w:val="32"/>
          <w:lang w:bidi="ar-TN"/>
        </w:rPr>
        <w:t>1971</w:t>
      </w:r>
      <w:r>
        <w:rPr>
          <w:rFonts w:ascii="DejaVu Sans" w:hAnsi="DejaVu Sans" w:cs="DejaVu Sans"/>
          <w:sz w:val="32"/>
          <w:sz w:val="32"/>
          <w:szCs w:val="32"/>
          <w:rtl w:val="true"/>
          <w:lang w:bidi="ar-TN"/>
        </w:rPr>
        <w:t>، ص</w:t>
      </w:r>
      <w:r>
        <w:rPr>
          <w:rFonts w:cs="DejaVu Sans" w:ascii="DejaVu Sans" w:hAnsi="DejaVu Sans"/>
          <w:sz w:val="32"/>
          <w:szCs w:val="32"/>
          <w:lang w:bidi="ar-TN"/>
        </w:rPr>
        <w:t>474</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محفوظ الجراحي، لأنّ الذي سوف يأتي أتى، مجلة الموقف الأدبي، دمشق</w:t>
      </w:r>
      <w:r>
        <w:rPr>
          <w:rFonts w:cs="DejaVu Sans" w:ascii="DejaVu Sans" w:hAnsi="DejaVu Sans"/>
          <w:sz w:val="32"/>
          <w:szCs w:val="32"/>
          <w:rtl w:val="true"/>
          <w:lang w:bidi="ar-TN"/>
        </w:rPr>
        <w:t>-</w:t>
      </w:r>
      <w:r>
        <w:rPr>
          <w:rFonts w:ascii="DejaVu Sans" w:hAnsi="DejaVu Sans" w:cs="DejaVu Sans"/>
          <w:sz w:val="32"/>
          <w:sz w:val="32"/>
          <w:szCs w:val="32"/>
          <w:rtl w:val="true"/>
          <w:lang w:bidi="ar-TN"/>
        </w:rPr>
        <w:t>سوريا، عدد</w:t>
      </w:r>
      <w:r>
        <w:rPr>
          <w:rFonts w:cs="DejaVu Sans" w:ascii="DejaVu Sans" w:hAnsi="DejaVu Sans"/>
          <w:sz w:val="32"/>
          <w:szCs w:val="32"/>
          <w:lang w:bidi="ar-TN"/>
        </w:rPr>
        <w:t>320</w:t>
      </w:r>
      <w:r>
        <w:rPr>
          <w:rFonts w:ascii="DejaVu Sans" w:hAnsi="DejaVu Sans" w:cs="DejaVu Sans"/>
          <w:sz w:val="32"/>
          <w:sz w:val="32"/>
          <w:szCs w:val="32"/>
          <w:rtl w:val="true"/>
          <w:lang w:bidi="ar-TN"/>
        </w:rPr>
        <w:t>، ديسمبر</w:t>
      </w:r>
      <w:r>
        <w:rPr>
          <w:rFonts w:cs="DejaVu Sans" w:ascii="DejaVu Sans" w:hAnsi="DejaVu Sans"/>
          <w:sz w:val="32"/>
          <w:szCs w:val="32"/>
          <w:lang w:bidi="ar-TN"/>
        </w:rPr>
        <w:t>1997</w:t>
      </w:r>
      <w:r>
        <w:rPr>
          <w:rFonts w:ascii="DejaVu Sans" w:hAnsi="DejaVu Sans" w:cs="DejaVu Sans"/>
          <w:sz w:val="32"/>
          <w:sz w:val="32"/>
          <w:szCs w:val="32"/>
          <w:rtl w:val="true"/>
          <w:lang w:bidi="ar-TN"/>
        </w:rPr>
        <w:t>، ص</w:t>
      </w:r>
      <w:r>
        <w:rPr>
          <w:rFonts w:cs="DejaVu Sans" w:ascii="DejaVu Sans" w:hAnsi="DejaVu Sans"/>
          <w:sz w:val="32"/>
          <w:szCs w:val="32"/>
          <w:lang w:bidi="ar-TN"/>
        </w:rPr>
        <w:t>39</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البشير خريّف، الدقلة في عراجينها، ص</w:t>
      </w:r>
      <w:r>
        <w:rPr>
          <w:rFonts w:cs="DejaVu Sans" w:ascii="DejaVu Sans" w:hAnsi="DejaVu Sans"/>
          <w:sz w:val="32"/>
          <w:szCs w:val="32"/>
          <w:lang w:bidi="ar-TN"/>
        </w:rPr>
        <w:t>14</w:t>
      </w:r>
      <w:r>
        <w:rPr>
          <w:rFonts w:cs="DejaVu Sans" w:ascii="DejaVu Sans" w:hAnsi="DejaVu Sans"/>
          <w:sz w:val="32"/>
          <w:szCs w:val="32"/>
          <w:rtl w:val="true"/>
          <w:lang w:bidi="ar-TN"/>
        </w:rPr>
        <w:t>.</w:t>
      </w:r>
    </w:p>
    <w:p>
      <w:pPr>
        <w:pStyle w:val="ListParagraph"/>
        <w:numPr>
          <w:ilvl w:val="0"/>
          <w:numId w:val="1"/>
        </w:numPr>
        <w:bidi w:val="1"/>
        <w:jc w:val="both"/>
        <w:rPr>
          <w:rFonts w:cs="DejaVu Sans" w:ascii="DejaVu Sans" w:hAnsi="DejaVu Sans"/>
          <w:sz w:val="32"/>
          <w:szCs w:val="32"/>
          <w:rtl w:val="true"/>
          <w:lang w:bidi="ar-TN"/>
        </w:rPr>
      </w:pPr>
      <w:r>
        <w:rPr>
          <w:rFonts w:ascii="DejaVu Sans" w:hAnsi="DejaVu Sans" w:cs="DejaVu Sans"/>
          <w:sz w:val="32"/>
          <w:sz w:val="32"/>
          <w:szCs w:val="32"/>
          <w:rtl w:val="true"/>
          <w:lang w:bidi="ar-TN"/>
        </w:rPr>
        <w:t>الشعراء المعاصرون الذين اِستلهموا النّخلة كثيرون</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اُنظر مثلا ديوان فصول بيضاء، علي دب، تونس</w:t>
      </w:r>
      <w:r>
        <w:rPr>
          <w:rFonts w:cs="DejaVu Sans" w:ascii="DejaVu Sans" w:hAnsi="DejaVu Sans"/>
          <w:sz w:val="32"/>
          <w:szCs w:val="32"/>
          <w:lang w:bidi="ar-TN"/>
        </w:rPr>
        <w:t>1989</w:t>
      </w:r>
      <w:r>
        <w:rPr>
          <w:rFonts w:ascii="DejaVu Sans" w:hAnsi="DejaVu Sans" w:cs="DejaVu Sans"/>
          <w:sz w:val="32"/>
          <w:sz w:val="32"/>
          <w:szCs w:val="32"/>
          <w:rtl w:val="true"/>
          <w:lang w:bidi="ar-TN"/>
        </w:rPr>
        <w:t>، وديوان اِمرأة الفسيفساء،سوف عبيد، دار الرياح الأربع، تونس</w:t>
      </w:r>
      <w:r>
        <w:rPr>
          <w:rFonts w:cs="DejaVu Sans" w:ascii="DejaVu Sans" w:hAnsi="DejaVu Sans"/>
          <w:sz w:val="32"/>
          <w:szCs w:val="32"/>
          <w:lang w:bidi="ar-TN"/>
        </w:rPr>
        <w:t>1985</w:t>
      </w:r>
      <w:r>
        <w:rPr>
          <w:rFonts w:ascii="DejaVu Sans" w:hAnsi="DejaVu Sans" w:cs="DejaVu Sans"/>
          <w:sz w:val="32"/>
          <w:sz w:val="32"/>
          <w:szCs w:val="32"/>
          <w:rtl w:val="true"/>
          <w:lang w:bidi="ar-TN"/>
        </w:rPr>
        <w:t>، واُنظر كذلك ديوان بوح البوادي، عبد العزيز سعود البابطين، المركز الثقافي العربي، بيروت</w:t>
      </w:r>
      <w:r>
        <w:rPr>
          <w:rFonts w:cs="DejaVu Sans" w:ascii="DejaVu Sans" w:hAnsi="DejaVu Sans"/>
          <w:sz w:val="32"/>
          <w:szCs w:val="32"/>
          <w:lang w:bidi="ar-TN"/>
        </w:rPr>
        <w:t>1995</w:t>
      </w:r>
      <w:r>
        <w:rPr>
          <w:rFonts w:cs="DejaVu Sans" w:ascii="DejaVu Sans" w:hAnsi="DejaVu Sans"/>
          <w:sz w:val="32"/>
          <w:szCs w:val="32"/>
          <w:rtl w:val="true"/>
          <w:lang w:bidi="ar-TN"/>
        </w:rPr>
        <w:t>.</w:t>
      </w:r>
    </w:p>
    <w:p>
      <w:pPr>
        <w:pStyle w:val="ListParagraph"/>
        <w:bidi w:val="1"/>
        <w:jc w:val="both"/>
        <w:rPr>
          <w:rFonts w:cs="DejaVu Sans" w:ascii="DejaVu Sans" w:hAnsi="DejaVu Sans"/>
          <w:sz w:val="32"/>
          <w:szCs w:val="32"/>
          <w:rtl w:val="true"/>
          <w:lang w:bidi="ar-TN"/>
        </w:rPr>
      </w:pPr>
      <w:r>
        <w:rPr>
          <w:rFonts w:cs="DejaVu Sans" w:ascii="DejaVu Sans" w:hAnsi="DejaVu Sans"/>
          <w:sz w:val="32"/>
          <w:szCs w:val="32"/>
          <w:rtl w:val="true"/>
          <w:lang w:bidi="ar-TN"/>
        </w:rPr>
      </w:r>
    </w:p>
    <w:p>
      <w:pPr>
        <w:pStyle w:val="ListParagraph"/>
        <w:bidi w:val="1"/>
        <w:spacing w:before="0" w:after="200"/>
        <w:contextualSpacing/>
        <w:jc w:val="both"/>
        <w:rPr>
          <w:rtl w:val="true"/>
        </w:rPr>
      </w:pPr>
      <w:r>
        <w:rPr>
          <w:rtl w:val="true"/>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DejaVu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jc w:val="center"/>
      <w:rPr/>
    </w:pPr>
    <w:r>
      <w:rPr/>
      <w:fldChar w:fldCharType="begin"/>
    </w:r>
    <w:r>
      <w:instrText> PAGE </w:instrText>
    </w:r>
    <w:r>
      <w:fldChar w:fldCharType="separate"/>
    </w:r>
    <w:r>
      <w:t>9</w:t>
    </w:r>
    <w: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f400b"/>
    <w:pPr>
      <w:widowControl/>
      <w:suppressAutoHyphens w:val="true"/>
      <w:bidi w:val="0"/>
      <w:spacing w:lineRule="auto" w:line="276" w:before="0" w:after="200"/>
      <w:jc w:val="left"/>
    </w:pPr>
    <w:rPr>
      <w:rFonts w:ascii="Calibri" w:hAnsi="Calibri" w:eastAsia="Droid Sans Fallback" w:cs="Calibri"/>
      <w:color w:val="00000A"/>
      <w:sz w:val="22"/>
      <w:szCs w:val="22"/>
      <w:lang w:val="fr-FR" w:eastAsia="en-US" w:bidi="ar-SA"/>
    </w:rPr>
  </w:style>
  <w:style w:type="character" w:styleId="DefaultParagraphFont" w:default="1">
    <w:name w:val="Default Paragraph Font"/>
    <w:uiPriority w:val="1"/>
    <w:semiHidden/>
    <w:unhideWhenUsed/>
    <w:rPr/>
  </w:style>
  <w:style w:type="character" w:styleId="Annotationreference">
    <w:name w:val="annotation reference"/>
    <w:uiPriority w:val="99"/>
    <w:semiHidden/>
    <w:unhideWhenUsed/>
    <w:rsid w:val="00fc2059"/>
    <w:basedOn w:val="DefaultParagraphFont"/>
    <w:rPr>
      <w:sz w:val="16"/>
      <w:szCs w:val="16"/>
    </w:rPr>
  </w:style>
  <w:style w:type="character" w:styleId="CommentaireCar" w:customStyle="1">
    <w:name w:val="Commentaire Car"/>
    <w:uiPriority w:val="99"/>
    <w:semiHidden/>
    <w:link w:val="Commentaire"/>
    <w:rsid w:val="00fc2059"/>
    <w:basedOn w:val="DefaultParagraphFont"/>
    <w:rPr>
      <w:sz w:val="20"/>
      <w:szCs w:val="20"/>
    </w:rPr>
  </w:style>
  <w:style w:type="character" w:styleId="ObjetducommentaireCar" w:customStyle="1">
    <w:name w:val="Objet du commentaire Car"/>
    <w:uiPriority w:val="99"/>
    <w:semiHidden/>
    <w:link w:val="Objetducommentaire"/>
    <w:rsid w:val="00fc2059"/>
    <w:basedOn w:val="CommentaireCar"/>
    <w:rPr>
      <w:b/>
      <w:bCs/>
    </w:rPr>
  </w:style>
  <w:style w:type="character" w:styleId="TextedebullesCar" w:customStyle="1">
    <w:name w:val="Texte de bulles Car"/>
    <w:uiPriority w:val="99"/>
    <w:semiHidden/>
    <w:link w:val="Textedebulles"/>
    <w:rsid w:val="00fc2059"/>
    <w:basedOn w:val="DefaultParagraphFont"/>
    <w:rPr>
      <w:rFonts w:ascii="Tahoma" w:hAnsi="Tahoma" w:cs="Tahoma"/>
      <w:sz w:val="16"/>
      <w:szCs w:val="16"/>
    </w:rPr>
  </w:style>
  <w:style w:type="character" w:styleId="NotedebasdepageCar" w:customStyle="1">
    <w:name w:val="Note de bas de page Car"/>
    <w:uiPriority w:val="99"/>
    <w:semiHidden/>
    <w:link w:val="Notedebasdepage"/>
    <w:rsid w:val="008c18b5"/>
    <w:basedOn w:val="DefaultParagraphFont"/>
    <w:rPr>
      <w:sz w:val="20"/>
      <w:szCs w:val="20"/>
    </w:rPr>
  </w:style>
  <w:style w:type="character" w:styleId="Footnotereference">
    <w:name w:val="footnote reference"/>
    <w:uiPriority w:val="99"/>
    <w:semiHidden/>
    <w:unhideWhenUsed/>
    <w:rsid w:val="008c18b5"/>
    <w:basedOn w:val="DefaultParagraphFont"/>
    <w:rPr>
      <w:vertAlign w:val="superscript"/>
    </w:rPr>
  </w:style>
  <w:style w:type="character" w:styleId="EntteCar" w:customStyle="1">
    <w:name w:val="En-tête Car"/>
    <w:uiPriority w:val="99"/>
    <w:semiHidden/>
    <w:link w:val="En-tte"/>
    <w:rsid w:val="000941dd"/>
    <w:basedOn w:val="DefaultParagraphFont"/>
    <w:rPr/>
  </w:style>
  <w:style w:type="character" w:styleId="PieddepageCar" w:customStyle="1">
    <w:name w:val="Pied de page Car"/>
    <w:uiPriority w:val="99"/>
    <w:link w:val="Pieddepage"/>
    <w:rsid w:val="000941dd"/>
    <w:basedOn w:val="DefaultParagraphFont"/>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Annotationtext">
    <w:name w:val="annotation text"/>
    <w:uiPriority w:val="99"/>
    <w:semiHidden/>
    <w:unhideWhenUsed/>
    <w:link w:val="CommentaireCar"/>
    <w:rsid w:val="00fc2059"/>
    <w:basedOn w:val="Normal"/>
    <w:pPr>
      <w:spacing w:lineRule="auto" w:line="240"/>
    </w:pPr>
    <w:rPr>
      <w:sz w:val="20"/>
      <w:szCs w:val="20"/>
    </w:rPr>
  </w:style>
  <w:style w:type="paragraph" w:styleId="Annotationsubject">
    <w:name w:val="annotation subject"/>
    <w:uiPriority w:val="99"/>
    <w:semiHidden/>
    <w:unhideWhenUsed/>
    <w:link w:val="ObjetducommentaireCar"/>
    <w:rsid w:val="00fc2059"/>
    <w:basedOn w:val="Annotationtext"/>
    <w:pPr/>
    <w:rPr>
      <w:b/>
      <w:bCs/>
    </w:rPr>
  </w:style>
  <w:style w:type="paragraph" w:styleId="BalloonText">
    <w:name w:val="Balloon Text"/>
    <w:uiPriority w:val="99"/>
    <w:semiHidden/>
    <w:unhideWhenUsed/>
    <w:link w:val="TextedebullesCar"/>
    <w:rsid w:val="00fc2059"/>
    <w:basedOn w:val="Normal"/>
    <w:pPr>
      <w:spacing w:lineRule="auto" w:line="240" w:before="0" w:after="0"/>
    </w:pPr>
    <w:rPr>
      <w:rFonts w:ascii="Tahoma" w:hAnsi="Tahoma" w:cs="Tahoma"/>
      <w:sz w:val="16"/>
      <w:szCs w:val="16"/>
    </w:rPr>
  </w:style>
  <w:style w:type="paragraph" w:styleId="Footnotetext">
    <w:name w:val="footnote text"/>
    <w:uiPriority w:val="99"/>
    <w:semiHidden/>
    <w:unhideWhenUsed/>
    <w:link w:val="NotedebasdepageCar"/>
    <w:rsid w:val="008c18b5"/>
    <w:basedOn w:val="Normal"/>
    <w:pPr>
      <w:spacing w:lineRule="auto" w:line="240" w:before="0" w:after="0"/>
    </w:pPr>
    <w:rPr>
      <w:sz w:val="20"/>
      <w:szCs w:val="20"/>
    </w:rPr>
  </w:style>
  <w:style w:type="paragraph" w:styleId="ListParagraph">
    <w:name w:val="List Paragraph"/>
    <w:uiPriority w:val="34"/>
    <w:qFormat/>
    <w:rsid w:val="00170aa8"/>
    <w:basedOn w:val="Normal"/>
    <w:pPr>
      <w:spacing w:before="0" w:after="200"/>
      <w:ind w:left="720" w:right="0" w:hanging="0"/>
      <w:contextualSpacing/>
    </w:pPr>
    <w:rPr/>
  </w:style>
  <w:style w:type="paragraph" w:styleId="Entte">
    <w:name w:val="En-tête"/>
    <w:uiPriority w:val="99"/>
    <w:semiHidden/>
    <w:unhideWhenUsed/>
    <w:link w:val="En-tteCar"/>
    <w:rsid w:val="000941dd"/>
    <w:basedOn w:val="Normal"/>
    <w:pPr>
      <w:tabs>
        <w:tab w:val="center" w:pos="4536" w:leader="none"/>
        <w:tab w:val="right" w:pos="9072" w:leader="none"/>
      </w:tabs>
      <w:spacing w:lineRule="auto" w:line="240" w:before="0" w:after="0"/>
    </w:pPr>
    <w:rPr/>
  </w:style>
  <w:style w:type="paragraph" w:styleId="Pieddepage">
    <w:name w:val="Pied de page"/>
    <w:uiPriority w:val="99"/>
    <w:unhideWhenUsed/>
    <w:link w:val="PieddepageCar"/>
    <w:rsid w:val="000941dd"/>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ACDD-0BF5-4B54-9C49-E2A97113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2015-03-28T09:06:00Z</dcterms:created>
  <dc:creator>ciat</dc:creator>
  <dc:language>fr-FR</dc:language>
  <cp:lastModifiedBy>User</cp:lastModifiedBy>
  <dcterms:modified xsi:type="dcterms:W3CDTF">2015-03-28T09:06:00Z</dcterms:modified>
  <cp:revision>2</cp:revision>
</cp:coreProperties>
</file>